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FC2C" w14:textId="4A2A6DCF" w:rsidR="00191BD9" w:rsidRPr="00191BD9" w:rsidRDefault="00191BD9" w:rsidP="00FE7B81">
      <w:pPr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Sample Case Brief</w:t>
      </w:r>
      <w:r>
        <w:rPr>
          <w:rStyle w:val="FootnoteReference"/>
          <w:rFonts w:ascii="Arial" w:eastAsia="Times New Roman" w:hAnsi="Arial" w:cs="Arial"/>
          <w:b/>
          <w:bCs/>
          <w:color w:val="000000"/>
          <w:kern w:val="0"/>
          <w14:ligatures w14:val="none"/>
        </w:rPr>
        <w:footnoteReference w:id="1"/>
      </w: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</w:p>
    <w:p w14:paraId="13C3970C" w14:textId="7A740BB9" w:rsidR="00191BD9" w:rsidRPr="00191BD9" w:rsidRDefault="00191BD9" w:rsidP="00191BD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Cite:</w:t>
      </w: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Conti v. ASPCA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, 77 Misc. 2d 61, 353 N.Y.S.2d 288 (Civ. Ct. 1974)</w:t>
      </w:r>
    </w:p>
    <w:p w14:paraId="6BFC5EC5" w14:textId="77777777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839447E" w14:textId="48C05213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Facts: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Defendant ASPCS conducted a demonstration with a parrot named Chester during which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the bird escaped. A week later, a parrot with markings and colorings similar to Chester’s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appeared in plaintiff Conti’s backyard and remained with Conti for two weeks before being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caged. The ASPCA removed the bird after plaintiff called for information on parrot care. ASPCA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br/>
        <w:t>claimed the parrot was Chester and belonged to the organization.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20533158" w14:textId="0CE7B84E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Procedure: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Action for replevin – plaintiff wants the bird back.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21E09CB8" w14:textId="30965151" w:rsid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Issue: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Court identified two issues: whether the bird is actually Chester; and who gets him?</w:t>
      </w:r>
    </w:p>
    <w:p w14:paraId="48B78DDA" w14:textId="77777777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822E6AA" w14:textId="3712C9CF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Held: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ASPCA gets the bird because: court found the bird was Chester; and as a domesticated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animal, Chester does have a true owner, whose rights are not lost when the bird escapes.</w:t>
      </w:r>
    </w:p>
    <w:p w14:paraId="0A738238" w14:textId="77777777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7392FD9" w14:textId="44C9B857" w:rsidR="00191BD9" w:rsidRPr="00191BD9" w:rsidRDefault="00191BD9" w:rsidP="00191BD9">
      <w:pPr>
        <w:ind w:left="1440" w:hanging="14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Reasoning: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The key issue in determining ownership was whether the rule of ferae naturae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applied. The rule states that an owner acquires only </w:t>
      </w:r>
      <w:proofErr w:type="spellStart"/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quliafied</w:t>
      </w:r>
      <w:proofErr w:type="spellEnd"/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rights in a wild animal that are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extinguished if the animal escapes. The court found that Chester was subject to training and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discipline and therefore was not wild</w:t>
      </w: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15A6B402" w14:textId="77777777" w:rsidR="00FE7B81" w:rsidRDefault="00FE7B81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br w:type="page"/>
      </w:r>
    </w:p>
    <w:p w14:paraId="375462B4" w14:textId="77777777" w:rsidR="00FE7B81" w:rsidRDefault="00FE7B81" w:rsidP="00FE7B81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1BD9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FGLP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—Cohort 1</w:t>
      </w:r>
    </w:p>
    <w:p w14:paraId="3B5B7326" w14:textId="77777777" w:rsidR="00FE7B81" w:rsidRDefault="00FE7B81" w:rsidP="00FE7B81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Summer 2024</w:t>
      </w:r>
    </w:p>
    <w:p w14:paraId="3E5D57E4" w14:textId="77777777" w:rsidR="00FE7B81" w:rsidRDefault="00FE7B81" w:rsidP="00FE7B81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E018C90" w14:textId="77777777" w:rsidR="00FE7B81" w:rsidRPr="00FE7B81" w:rsidRDefault="00FE7B81" w:rsidP="00FE7B81">
      <w:pPr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E7B8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Legal Analysis Session 2: Assignment</w:t>
      </w:r>
    </w:p>
    <w:p w14:paraId="3C7A35C6" w14:textId="77777777" w:rsidR="00FE7B81" w:rsidRDefault="00FE7B81" w:rsidP="00FE7B81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76DAF04" w14:textId="3056081D" w:rsidR="00FE7B81" w:rsidRPr="00191BD9" w:rsidRDefault="00FE7B81" w:rsidP="00FE7B81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Introduction: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In our Legal Analysis session on July 3, we discussed a </w:t>
      </w:r>
      <w:r w:rsidRPr="00B26C0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Sample</w:t>
      </w:r>
      <w:r w:rsidRPr="00B26C0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Case Brief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of the </w:t>
      </w:r>
      <w:r w:rsidRPr="00B26C0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Conti v. ASPCA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decision. </w:t>
      </w:r>
      <w:r w:rsidR="00B26C0F">
        <w:rPr>
          <w:rFonts w:ascii="Arial" w:eastAsia="Times New Roman" w:hAnsi="Arial" w:cs="Arial"/>
          <w:color w:val="000000"/>
          <w:kern w:val="0"/>
          <w14:ligatures w14:val="none"/>
        </w:rPr>
        <w:t>We also conducted research to find a relevant case that may help our client, Delivering Progress and Unity.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68B9FA68" w14:textId="77777777" w:rsidR="00B26C0F" w:rsidRDefault="00B26C0F" w:rsidP="00191BD9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0B17792" w14:textId="2D05C506" w:rsidR="00B26C0F" w:rsidRDefault="00B26C0F" w:rsidP="00191BD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Instructions: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Your assignment is to read and </w:t>
      </w:r>
      <w:r w:rsidRPr="00B26C0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brief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the </w:t>
      </w:r>
      <w:r w:rsidRPr="00B26C0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</w:t>
      </w:r>
      <w:r w:rsidR="009C0D87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r</w:t>
      </w:r>
      <w:r w:rsidRPr="00B26C0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bogast v. Schaub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case. Include the following components in your case brief:</w:t>
      </w:r>
    </w:p>
    <w:p w14:paraId="2D7633EF" w14:textId="77777777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Citation</w:t>
      </w:r>
    </w:p>
    <w:p w14:paraId="3C3179D2" w14:textId="6622A810" w:rsidR="00B26C0F" w:rsidRPr="00B26C0F" w:rsidRDefault="00114A39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Story </w:t>
      </w:r>
      <w:r w:rsidR="00B26C0F" w:rsidRPr="00B26C0F">
        <w:rPr>
          <w:rFonts w:ascii="Arial" w:eastAsia="Times New Roman" w:hAnsi="Arial" w:cs="Arial"/>
          <w:color w:val="000000"/>
          <w:kern w:val="0"/>
          <w14:ligatures w14:val="none"/>
        </w:rPr>
        <w:t>Facts</w:t>
      </w:r>
    </w:p>
    <w:p w14:paraId="3EE496EE" w14:textId="4C3A7C8A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 xml:space="preserve">Procedural </w:t>
      </w:r>
      <w:r w:rsidR="00114A39">
        <w:rPr>
          <w:rFonts w:ascii="Arial" w:eastAsia="Times New Roman" w:hAnsi="Arial" w:cs="Arial"/>
          <w:color w:val="000000"/>
          <w:kern w:val="0"/>
          <w14:ligatures w14:val="none"/>
        </w:rPr>
        <w:t xml:space="preserve">Facts (Case </w:t>
      </w: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History</w:t>
      </w:r>
      <w:r w:rsidR="00114A39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77783AF9" w14:textId="77777777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Issues</w:t>
      </w:r>
    </w:p>
    <w:p w14:paraId="4C472D4B" w14:textId="77777777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Holding</w:t>
      </w:r>
    </w:p>
    <w:p w14:paraId="28E3FA1C" w14:textId="77777777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Rules</w:t>
      </w:r>
    </w:p>
    <w:p w14:paraId="4CEB4421" w14:textId="77777777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Reasoning</w:t>
      </w:r>
    </w:p>
    <w:p w14:paraId="731252D1" w14:textId="77777777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Disposition</w:t>
      </w:r>
    </w:p>
    <w:p w14:paraId="4A123C99" w14:textId="70F32D6A" w:rsidR="00B26C0F" w:rsidRPr="00B26C0F" w:rsidRDefault="00B26C0F" w:rsidP="00B26C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color w:val="000000"/>
          <w:kern w:val="0"/>
          <w14:ligatures w14:val="none"/>
        </w:rPr>
        <w:t>Concurring/Dissenting Opinions</w:t>
      </w:r>
      <w:r w:rsidR="00114A39">
        <w:rPr>
          <w:rFonts w:ascii="Arial" w:eastAsia="Times New Roman" w:hAnsi="Arial" w:cs="Arial"/>
          <w:color w:val="000000"/>
          <w:kern w:val="0"/>
          <w14:ligatures w14:val="none"/>
        </w:rPr>
        <w:t xml:space="preserve"> (if any)</w:t>
      </w:r>
    </w:p>
    <w:p w14:paraId="277D3C57" w14:textId="77777777" w:rsidR="00B26C0F" w:rsidRDefault="00B26C0F" w:rsidP="00191BD9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1A1D42C" w14:textId="77777777" w:rsidR="00B26C0F" w:rsidRDefault="00B26C0F" w:rsidP="00191BD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26C0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Materials: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To complete this assignment, I am providing you will the following documents:</w:t>
      </w:r>
    </w:p>
    <w:p w14:paraId="1406C725" w14:textId="77777777" w:rsidR="00B26C0F" w:rsidRDefault="00B26C0F" w:rsidP="00B26C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Pr="00114A3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Arbogast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court opinion</w:t>
      </w:r>
    </w:p>
    <w:p w14:paraId="3C0ED3B8" w14:textId="30A6AD55" w:rsidR="00191BD9" w:rsidRDefault="00B26C0F" w:rsidP="00B26C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Pr="00B26C0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Conti v. ASPCA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Sample Case Brief. Use this as a model when drafting your Arbogast case brief.</w:t>
      </w:r>
    </w:p>
    <w:p w14:paraId="10019D8A" w14:textId="77777777" w:rsidR="00114A39" w:rsidRDefault="00114A39" w:rsidP="00114A39">
      <w:pPr>
        <w:pStyle w:val="ListParagrap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31F0E94" w14:textId="56A4B178" w:rsidR="00114A39" w:rsidRPr="00114A39" w:rsidRDefault="00114A39" w:rsidP="00114A3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114A3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Submission: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Please email your completed Case Brief to me at </w:t>
      </w:r>
      <w:hyperlink r:id="rId8" w:history="1">
        <w:r w:rsidRPr="0000353C">
          <w:rPr>
            <w:rStyle w:val="Hyperlink"/>
            <w:rFonts w:ascii="Arial" w:eastAsia="Times New Roman" w:hAnsi="Arial" w:cs="Arial"/>
            <w:kern w:val="0"/>
            <w14:ligatures w14:val="none"/>
          </w:rPr>
          <w:t>mcue@depaul.edu</w:t>
        </w:r>
      </w:hyperlink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by 11:59 pm on Tuesday, July 9. Please also bring your Case Brief to your Advanced LW 3 session on Wednesday, July 10. </w:t>
      </w:r>
    </w:p>
    <w:p w14:paraId="3BFA92AE" w14:textId="3F3E698E" w:rsidR="00191BD9" w:rsidRPr="00191BD9" w:rsidRDefault="00191BD9" w:rsidP="00191BD9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4E6242C" w14:textId="77777777" w:rsidR="00DD2003" w:rsidRDefault="00DD2003"/>
    <w:sectPr w:rsidR="00DD2003" w:rsidSect="00F3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858E" w14:textId="77777777" w:rsidR="0060252E" w:rsidRDefault="0060252E" w:rsidP="00191BD9">
      <w:r>
        <w:separator/>
      </w:r>
    </w:p>
  </w:endnote>
  <w:endnote w:type="continuationSeparator" w:id="0">
    <w:p w14:paraId="582DDF17" w14:textId="77777777" w:rsidR="0060252E" w:rsidRDefault="0060252E" w:rsidP="0019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FDF8" w14:textId="77777777" w:rsidR="0060252E" w:rsidRDefault="0060252E" w:rsidP="00191BD9">
      <w:r>
        <w:separator/>
      </w:r>
    </w:p>
  </w:footnote>
  <w:footnote w:type="continuationSeparator" w:id="0">
    <w:p w14:paraId="4BE6E51C" w14:textId="77777777" w:rsidR="0060252E" w:rsidRDefault="0060252E" w:rsidP="00191BD9">
      <w:r>
        <w:continuationSeparator/>
      </w:r>
    </w:p>
  </w:footnote>
  <w:footnote w:id="1">
    <w:p w14:paraId="077509B4" w14:textId="4DB26134" w:rsidR="00191BD9" w:rsidRDefault="00191B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From Nancy L. Schultz and Louis J. </w:t>
      </w:r>
      <w:proofErr w:type="spellStart"/>
      <w:r w:rsidRPr="00191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Sirico</w:t>
      </w:r>
      <w:proofErr w:type="spellEnd"/>
      <w:r w:rsidRPr="00191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Jr., Legal Writing and Other Lawyering Skills, Wolters Kluwer 6th ed., pp.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91B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41-2.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509"/>
    <w:multiLevelType w:val="hybridMultilevel"/>
    <w:tmpl w:val="7634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E53C1"/>
    <w:multiLevelType w:val="hybridMultilevel"/>
    <w:tmpl w:val="70E4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02293">
    <w:abstractNumId w:val="1"/>
  </w:num>
  <w:num w:numId="2" w16cid:durableId="190063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9"/>
    <w:rsid w:val="00114A39"/>
    <w:rsid w:val="00191BD9"/>
    <w:rsid w:val="00246E6A"/>
    <w:rsid w:val="00271E55"/>
    <w:rsid w:val="005C5BC2"/>
    <w:rsid w:val="0060252E"/>
    <w:rsid w:val="006A6E3D"/>
    <w:rsid w:val="009C0D87"/>
    <w:rsid w:val="00B22B17"/>
    <w:rsid w:val="00B26C0F"/>
    <w:rsid w:val="00BA777F"/>
    <w:rsid w:val="00D472CE"/>
    <w:rsid w:val="00DB514C"/>
    <w:rsid w:val="00DD2003"/>
    <w:rsid w:val="00E12B5B"/>
    <w:rsid w:val="00E86D5F"/>
    <w:rsid w:val="00F35DFE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A43B1"/>
  <w15:chartTrackingRefBased/>
  <w15:docId w15:val="{BCDA37F7-D01C-B64C-A361-EE569A3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B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BD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B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B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4A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e@depaul.ed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9D27F49AE544F9EFEDFF813D57FC9" ma:contentTypeVersion="2" ma:contentTypeDescription="Create a new document." ma:contentTypeScope="" ma:versionID="499f47f45fe21ef5e0903b71b167b3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ce510d79c3016528578a68dc3fb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950F24-C561-8A41-91CC-BD9CF6326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1F9BA-BFB6-4145-980E-029D4A0A9FB3}"/>
</file>

<file path=customXml/itemProps3.xml><?xml version="1.0" encoding="utf-8"?>
<ds:datastoreItem xmlns:ds="http://schemas.openxmlformats.org/officeDocument/2006/customXml" ds:itemID="{F84BA0BB-F0FA-4DEF-8E16-73DDA9CD5EBE}"/>
</file>

<file path=customXml/itemProps4.xml><?xml version="1.0" encoding="utf-8"?>
<ds:datastoreItem xmlns:ds="http://schemas.openxmlformats.org/officeDocument/2006/customXml" ds:itemID="{FEB7F7E0-E9CA-4070-AB69-1E6FAA2F1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Brief Assignment and Sample</dc:title>
  <dc:subject/>
  <dc:creator>Michelle Cue</dc:creator>
  <cp:keywords/>
  <dc:description/>
  <cp:lastModifiedBy>Michelle Cue</cp:lastModifiedBy>
  <cp:revision>2</cp:revision>
  <dcterms:created xsi:type="dcterms:W3CDTF">2024-06-25T20:23:00Z</dcterms:created>
  <dcterms:modified xsi:type="dcterms:W3CDTF">2024-06-25T22:52:00Z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0x0101008F09D27F49AE544F9EFEDFF813D57FC9</vt:lpwstr>
  </property>
</Properties>
</file>